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BA" w:rsidRPr="000D547D" w:rsidRDefault="000D547D">
      <w:pPr>
        <w:pStyle w:val="Pagedecouverture"/>
        <w:rPr>
          <w:noProof/>
        </w:rPr>
      </w:pPr>
      <w:bookmarkStart w:id="0" w:name="LW_BM_COVERPAGE"/>
      <w:bookmarkStart w:id="1" w:name="_GoBack"/>
      <w:r w:rsidRPr="000D54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3E6FBB5A-A604-4BC6-8CF7-F293BC4700D5" style="width:450.4pt;height:435.35pt">
            <v:imagedata r:id="rId7" o:title=""/>
          </v:shape>
        </w:pict>
      </w:r>
    </w:p>
    <w:bookmarkEnd w:id="0"/>
    <w:p w:rsidR="00AB42BA" w:rsidRPr="000D547D" w:rsidRDefault="00AB42BA">
      <w:pPr>
        <w:rPr>
          <w:rFonts w:ascii="Times New Roman" w:hAnsi="Times New Roman" w:cs="Times New Roman"/>
          <w:noProof/>
        </w:rPr>
        <w:sectPr w:rsidR="00AB42BA" w:rsidRPr="000D54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AB42BA" w:rsidRPr="000D547D" w:rsidRDefault="000D547D">
      <w:pPr>
        <w:spacing w:line="273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D547D">
        <w:rPr>
          <w:rFonts w:ascii="Times New Roman" w:hAnsi="Times New Roman" w:cs="Times New Roman"/>
          <w:b/>
          <w:noProof/>
          <w:sz w:val="24"/>
        </w:rPr>
        <w:lastRenderedPageBreak/>
        <w:t>A BIZOTTSÁG ÉRDEKELT FELEKNEK SZÓLÓ KÖZLEMÉNYEINEK FELSOROLÁSA</w:t>
      </w:r>
    </w:p>
    <w:p w:rsidR="00AB42BA" w:rsidRPr="000D547D" w:rsidRDefault="000D547D">
      <w:pPr>
        <w:spacing w:before="55" w:after="0" w:line="258" w:lineRule="exact"/>
        <w:ind w:left="217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547D">
        <w:rPr>
          <w:rFonts w:ascii="Times New Roman" w:hAnsi="Times New Roman" w:cs="Times New Roman"/>
          <w:noProof/>
          <w:sz w:val="24"/>
        </w:rPr>
        <w:t xml:space="preserve">A Bizottság szolgálatai által témakörönként közzétett „brexitfelkészülési </w:t>
      </w:r>
      <w:r w:rsidRPr="000D547D">
        <w:rPr>
          <w:rFonts w:ascii="Times New Roman" w:hAnsi="Times New Roman" w:cs="Times New Roman"/>
          <w:noProof/>
          <w:sz w:val="24"/>
        </w:rPr>
        <w:t>közlemények”</w:t>
      </w:r>
      <w:r w:rsidRPr="000D547D">
        <w:rPr>
          <w:rFonts w:ascii="Times New Roman" w:hAnsi="Times New Roman" w:cs="Times New Roman"/>
          <w:noProof/>
          <w:spacing w:val="-1"/>
          <w:sz w:val="20"/>
          <w:vertAlign w:val="superscript"/>
        </w:rPr>
        <w:footnoteReference w:id="1"/>
      </w:r>
    </w:p>
    <w:p w:rsidR="00AB42BA" w:rsidRPr="000D547D" w:rsidRDefault="000D547D">
      <w:pPr>
        <w:spacing w:after="240" w:line="294" w:lineRule="exact"/>
        <w:ind w:left="96"/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0D547D">
        <w:rPr>
          <w:rFonts w:ascii="Times New Roman" w:hAnsi="Times New Roman" w:cs="Times New Roman"/>
          <w:noProof/>
          <w:sz w:val="24"/>
        </w:rPr>
        <w:t>(2019. június 12.)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AB42BA" w:rsidRPr="000D547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B42BA" w:rsidRPr="000D547D" w:rsidRDefault="00AB42B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42BA" w:rsidRPr="000D547D" w:rsidRDefault="000D547D">
            <w:pPr>
              <w:ind w:left="34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TÉMAKÖR</w:t>
            </w:r>
          </w:p>
        </w:tc>
      </w:tr>
      <w:tr w:rsidR="00AB42BA" w:rsidRPr="000D547D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:rsidR="00AB42BA" w:rsidRPr="000D547D" w:rsidRDefault="00AB42B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b/>
                <w:noProof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ÁRUK</w:t>
            </w:r>
          </w:p>
        </w:tc>
      </w:tr>
      <w:tr w:rsidR="00AB42BA" w:rsidRPr="000D547D">
        <w:tc>
          <w:tcPr>
            <w:tcW w:w="959" w:type="dxa"/>
            <w:tcBorders>
              <w:top w:val="single" w:sz="4" w:space="0" w:color="auto"/>
            </w:tcBorders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8329" w:type="dxa"/>
            <w:tcBorders>
              <w:top w:val="single" w:sz="4" w:space="0" w:color="auto"/>
            </w:tcBorders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Ipari termékek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Ipari termékek – kérdések és válaszok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Kedvtelési célú vízi járművek és motoros vízi sporteszközök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Emberi felhasználásra szánt gyógyszerek, állatgyógyászati készítmények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Emberi felhasználásra szánt gyógyszerek, állatgyógyászati készítmények – kérdések és válaszok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Növényvédő szerek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Kérdések és válaszok: Növényvédő szerek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Biocid termékek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Kérdések és válaszok: Biocid termékek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Típusjóváhagyás (gépjárművek)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Típusjóváhagyás (mezőgazdasági és erdészeti járművek, két- vagy háromkerekű járművek, valamint négykerekű motorkerékpárok, nem közúti önjáró munkagépek)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Típusjóváhagyás (mezőgazdasági és erdészeti járművek, két- vagy háromkerekű járművek, valami</w:t>
            </w: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nt négykerekű motorkerékpárok, nem közúti önjáró munkagépek) – kérdések és válaszok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 xml:space="preserve">Ipari vegyi anyagok (REACH) 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Mosó- és tisztítószerek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Műtrágyák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Pirotechnikai termékek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Polgári felhasználású robbanóanyagok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Uniós ökocímke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 xml:space="preserve">Hulladék 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Kozmetikai termékek</w:t>
            </w:r>
          </w:p>
        </w:tc>
      </w:tr>
      <w:tr w:rsidR="00AB42BA" w:rsidRPr="000D547D">
        <w:trPr>
          <w:trHeight w:val="452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ÉLELMISZER, TAKARMÁNY, NÖVÉNYEK, ÁLLATEGÉSZSÉGÜGY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Élelmiszer, ökológiai termelés és minőségrendszerek (földrajzi jelzések)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 xml:space="preserve">Állati takarmányok 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pacing w:val="-1"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Kérdések és válaszok: Takarmányok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 xml:space="preserve">Géntechnológiával </w:t>
            </w:r>
            <w:r w:rsidRPr="000D547D">
              <w:rPr>
                <w:rFonts w:ascii="Times New Roman" w:hAnsi="Times New Roman"/>
                <w:noProof/>
                <w:sz w:val="22"/>
              </w:rPr>
              <w:t>módosított szervezetek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Természetes ásványvizek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Növényi szaporítóanyagok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Állattenyésztés, tenyésztéstechnika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Állategészségügy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29.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Növényegészségügy</w:t>
            </w:r>
          </w:p>
        </w:tc>
      </w:tr>
      <w:tr w:rsidR="00AB42BA" w:rsidRPr="000D547D">
        <w:trPr>
          <w:trHeight w:val="422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VÁMÜGYEK ÉS KÖZVETETT ADÓZÁS, BEHOZATALI ÉS KIVITELI ENGEDÉLYEK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 xml:space="preserve">Vámügyek és </w:t>
            </w:r>
            <w:r w:rsidRPr="000D547D">
              <w:rPr>
                <w:rFonts w:ascii="Times New Roman" w:hAnsi="Times New Roman"/>
                <w:noProof/>
                <w:sz w:val="22"/>
              </w:rPr>
              <w:t>közvetett adózás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Származási szabályok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lastRenderedPageBreak/>
              <w:t>32.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Hozzáadottérték-adó (héa)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Behozatali és kiviteli engedélyek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Kereskedés védett fajokkal (CITES)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Faanyagok behozatala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szellemi tulajdonhoz fűződő jogok érvényesítése a vámhatóságok által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vámtartozás és a vámtarifák uniós szabályozása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Iránymutatás vámügyi kérdésekben rendezetlen kilépés esetére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39.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Iránymutatás a folyamatban lévő áruszállítások jövedéki vonatkozásairól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Kettős felhasználású termékek kivitelének ellenőrzése</w:t>
            </w:r>
          </w:p>
        </w:tc>
      </w:tr>
      <w:tr w:rsidR="00AB42BA" w:rsidRPr="000D547D">
        <w:trPr>
          <w:trHeight w:val="419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PÉNZÜGYI SZOLGÁLTATÁSOK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Kötelező könyvvizsgálat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Hitelminősítő intézetek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Alapkezelés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Kereskedés utáni szolgáltatások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Befektetési szolgáltatási tevékenységek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Banki és pénzforgalmi szolgáltatások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(Viszont)biztosítás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Foglalkoztatói nyugellátást szolgáltató intézmények</w:t>
            </w:r>
          </w:p>
        </w:tc>
      </w:tr>
      <w:tr w:rsidR="00AB42BA" w:rsidRPr="000D547D">
        <w:trPr>
          <w:trHeight w:val="606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POLGÁRI IGAZSÁGSZOLGÁLTATÁS, TÁRSASÁGI JOG, FOGYASZTÓVÉDELEM, ADATVÉDELEM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49.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személyes adatok védelme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Társasági jog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Nemzetközi magánjog és polgári igazságszolgáltatás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 xml:space="preserve">Nemzetközi </w:t>
            </w:r>
            <w:r w:rsidRPr="000D547D">
              <w:rPr>
                <w:rFonts w:ascii="Times New Roman" w:hAnsi="Times New Roman"/>
                <w:noProof/>
                <w:sz w:val="22"/>
              </w:rPr>
              <w:t>magánjog és polgári igazságszolgáltatás – kérdések és válaszok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Fogyasztóvédelem és utasjogok</w:t>
            </w:r>
          </w:p>
        </w:tc>
      </w:tr>
      <w:tr w:rsidR="00AB42BA" w:rsidRPr="000D547D">
        <w:trPr>
          <w:trHeight w:val="429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SZELLEMI TULAJDON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Védjegyek és formatervezési minták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Növényfajták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Szerzői jog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Kiegészítő oltalmi tanúsítványok</w:t>
            </w:r>
          </w:p>
        </w:tc>
      </w:tr>
      <w:tr w:rsidR="00AB42BA" w:rsidRPr="000D547D">
        <w:trPr>
          <w:trHeight w:val="430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SZAKKÉPESÍTÉSEK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Szakképesítések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59.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Vágóhídi személyzet képesítései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Állatszállítók képesítései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Tengerészek képesítései</w:t>
            </w:r>
          </w:p>
        </w:tc>
      </w:tr>
      <w:tr w:rsidR="00AB42BA" w:rsidRPr="000D547D">
        <w:trPr>
          <w:trHeight w:val="332"/>
        </w:trPr>
        <w:tc>
          <w:tcPr>
            <w:tcW w:w="959" w:type="dxa"/>
            <w:shd w:val="clear" w:color="auto" w:fill="92CDDC" w:themeFill="accent5" w:themeFillTint="99"/>
            <w:vAlign w:val="center"/>
          </w:tcPr>
          <w:p w:rsidR="00AB42BA" w:rsidRPr="000D547D" w:rsidRDefault="00AB42B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KÖZLEKEDÉS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Légi közlekedés (hozzáférés)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légi közlekedés biztonsága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légi közlekedés védelme, tengeri védelem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 xml:space="preserve">Közúti </w:t>
            </w:r>
            <w:r w:rsidRPr="000D547D">
              <w:rPr>
                <w:rFonts w:ascii="Times New Roman" w:hAnsi="Times New Roman"/>
                <w:noProof/>
                <w:sz w:val="22"/>
              </w:rPr>
              <w:t>közlekedés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>Tengeri közlekedés (hozzáférés és biztonság)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Vasúti közlekedés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Belvízi utak</w:t>
            </w:r>
          </w:p>
        </w:tc>
      </w:tr>
      <w:tr w:rsidR="00AB42BA" w:rsidRPr="000D547D">
        <w:trPr>
          <w:trHeight w:val="352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DIGITÁLIS GAZDASÁG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69.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.eu felső szintű doménnevek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Elektronikus kereskedelem (információs társadalommal összefüggő szolgáltatások)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Telekommunikáció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lastRenderedPageBreak/>
              <w:t>72.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Audiovizuális médiaszolgáltatások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eiDAS/bizalmi szolgáltatások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Hálózatbiztonság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Területi alapú tartalomkorlátozás</w:t>
            </w:r>
          </w:p>
        </w:tc>
      </w:tr>
      <w:tr w:rsidR="00AB42BA" w:rsidRPr="000D547D">
        <w:trPr>
          <w:trHeight w:val="470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ENERGIA ÉS ÉGHAJLATVÁLTOZÁS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Euratommal kapcsolatos kérdések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Villamosenergia- és gázpiac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Eredetigazolások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79.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Gépjárművek CO2-kibocsátása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A szén-dioxid-kibocsátás jelentése a tengeri szállításban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Kibocsátáskereskedelmi rendszer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Fluortartalmú gázok</w:t>
            </w:r>
          </w:p>
        </w:tc>
      </w:tr>
      <w:tr w:rsidR="00AB42BA" w:rsidRPr="000D547D">
        <w:trPr>
          <w:trHeight w:val="427"/>
        </w:trPr>
        <w:tc>
          <w:tcPr>
            <w:tcW w:w="959" w:type="dxa"/>
            <w:shd w:val="clear" w:color="auto" w:fill="92CDDC" w:themeFill="accent5" w:themeFillTint="99"/>
          </w:tcPr>
          <w:p w:rsidR="00AB42BA" w:rsidRPr="000D547D" w:rsidRDefault="00AB42BA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329" w:type="dxa"/>
            <w:shd w:val="clear" w:color="auto" w:fill="92CDDC" w:themeFill="accent5" w:themeFillTint="99"/>
            <w:vAlign w:val="center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b/>
                <w:noProof/>
                <w:sz w:val="22"/>
              </w:rPr>
              <w:t>EGYÉB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Emberi eredetű anyagok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84.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Klinikai vizsgálatok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85.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Közbeszerzés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86.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Uniós versenyjog (antitrösztszabályok és összefonódás-ellenőrzés)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87.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Uniós környezetvédelmi vezetési és hitelesítési rendszer (EMAS)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88.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Hajók újrafeldolgozása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89.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Európai polgári kezdeményezések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90.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pacing w:val="-1"/>
                <w:sz w:val="22"/>
              </w:rPr>
              <w:t xml:space="preserve">A halászati és akvakultúra-ágazatra vonatkozó uniós szabályok 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91.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Európai üzemi tanácsok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92.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Iparbiztonság (EU-minősített adatok)</w:t>
            </w:r>
          </w:p>
        </w:tc>
      </w:tr>
      <w:tr w:rsidR="00AB42BA" w:rsidRPr="000D547D">
        <w:tc>
          <w:tcPr>
            <w:tcW w:w="959" w:type="dxa"/>
          </w:tcPr>
          <w:p w:rsidR="00AB42BA" w:rsidRPr="000D547D" w:rsidRDefault="000D547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D547D">
              <w:rPr>
                <w:rFonts w:ascii="Times New Roman" w:hAnsi="Times New Roman" w:cs="Times New Roman"/>
                <w:noProof/>
              </w:rPr>
              <w:t>93.</w:t>
            </w:r>
          </w:p>
        </w:tc>
        <w:tc>
          <w:tcPr>
            <w:tcW w:w="8329" w:type="dxa"/>
          </w:tcPr>
          <w:p w:rsidR="00AB42BA" w:rsidRPr="000D547D" w:rsidRDefault="000D547D">
            <w:pPr>
              <w:pStyle w:val="TableParagraph"/>
              <w:spacing w:line="249" w:lineRule="exact"/>
              <w:ind w:left="102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D547D">
              <w:rPr>
                <w:rFonts w:ascii="Times New Roman" w:hAnsi="Times New Roman"/>
                <w:noProof/>
                <w:sz w:val="22"/>
              </w:rPr>
              <w:t>Utazás az Európai Unió és az Egyesült Királyság között</w:t>
            </w:r>
          </w:p>
        </w:tc>
      </w:tr>
      <w:bookmarkEnd w:id="1"/>
    </w:tbl>
    <w:p w:rsidR="00AB42BA" w:rsidRPr="000D547D" w:rsidRDefault="00AB42BA">
      <w:pPr>
        <w:rPr>
          <w:rFonts w:ascii="Times New Roman" w:hAnsi="Times New Roman" w:cs="Times New Roman"/>
          <w:noProof/>
        </w:rPr>
      </w:pPr>
    </w:p>
    <w:sectPr w:rsidR="00AB42BA" w:rsidRPr="000D54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BA" w:rsidRDefault="000D547D">
      <w:pPr>
        <w:spacing w:after="0" w:line="240" w:lineRule="auto"/>
      </w:pPr>
      <w:r>
        <w:separator/>
      </w:r>
    </w:p>
  </w:endnote>
  <w:endnote w:type="continuationSeparator" w:id="0">
    <w:p w:rsidR="00AB42BA" w:rsidRDefault="000D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0D547D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148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2BA" w:rsidRDefault="000D5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2BA" w:rsidRDefault="00AB42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BA" w:rsidRDefault="000D547D">
      <w:pPr>
        <w:spacing w:after="0" w:line="240" w:lineRule="auto"/>
      </w:pPr>
      <w:r>
        <w:separator/>
      </w:r>
    </w:p>
  </w:footnote>
  <w:footnote w:type="continuationSeparator" w:id="0">
    <w:p w:rsidR="00AB42BA" w:rsidRDefault="000D547D">
      <w:pPr>
        <w:spacing w:after="0" w:line="240" w:lineRule="auto"/>
      </w:pPr>
      <w:r>
        <w:continuationSeparator/>
      </w:r>
    </w:p>
  </w:footnote>
  <w:footnote w:id="1">
    <w:p w:rsidR="00AB42BA" w:rsidRDefault="000D547D">
      <w:pPr>
        <w:pStyle w:val="FootnoteText"/>
        <w:ind w:left="426" w:hanging="426"/>
        <w:jc w:val="both"/>
        <w:rPr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A közleményeket a következő honlapon tették közzé: </w:t>
      </w:r>
      <w:hyperlink r:id="rId1">
        <w:r>
          <w:rPr>
            <w:rStyle w:val="Hyperlink"/>
            <w:rFonts w:ascii="Times New Roman" w:hAnsi="Times New Roman"/>
          </w:rPr>
          <w:t>https://ec.europa.eu/info/brexit/brexit-preparedness/preparedness-notices_hu</w:t>
        </w:r>
      </w:hyperlink>
    </w:p>
    <w:p w:rsidR="00AB42BA" w:rsidRDefault="00AB42BA">
      <w:pPr>
        <w:pStyle w:val="FootnoteText"/>
        <w:ind w:left="426" w:hanging="426"/>
        <w:jc w:val="both"/>
        <w:rPr>
          <w:rFonts w:ascii="Times New Roman" w:hAnsi="Times New Roman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BA" w:rsidRDefault="00AB4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a következ\u337?höz:"/>
    <w:docVar w:name="LW_ANNEX_NBR_FIRST" w:val="2"/>
    <w:docVar w:name="LW_ANNEX_NBR_LAST" w:val="2"/>
    <w:docVar w:name="LW_ANNEX_UNIQUE" w:val="0"/>
    <w:docVar w:name="LW_CORRIGENDUM" w:val="&lt;UNUSED&gt;"/>
    <w:docVar w:name="LW_COVERPAGE_EXISTS" w:val="True"/>
    <w:docVar w:name="LW_COVERPAGE_GUID" w:val="3E6FBB5A-A604-4BC6-8CF7-F293BC4700D5"/>
    <w:docVar w:name="LW_COVERPAGE_TYPE" w:val="1"/>
    <w:docVar w:name="LW_CROSSREFERENCE" w:val="&lt;UNUSED&gt;"/>
    <w:docVar w:name="LW_DocType" w:val="NORMAL"/>
    <w:docVar w:name="LW_EMISSION" w:val="2019.6.12."/>
    <w:docVar w:name="LW_EMISSION_ISODATE" w:val="2019-06-12"/>
    <w:docVar w:name="LW_EMISSION_LOCATION" w:val="BRX"/>
    <w:docVar w:name="LW_EMISSION_PREFIX" w:val="Brüsszel, "/>
    <w:docVar w:name="LW_EMISSION_SUFFIX" w:val=" "/>
    <w:docVar w:name="LW_ID_DOCTYPE_NONLW" w:val="CP-039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OBJETACTEPRINCIPAL.CP" w:val="Az Egyesült Királyság Európai Unióból való kilépésére irányuló rendkívüli intézkedések végrehajtásának jelenlegi állása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7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MELLÉKLET_x000b_"/>
    <w:docVar w:name="LW_TYPEACTEPRINCIPAL.CP" w:val="A BIZOTTSÁG KÖZLEMÉNYE AZ EURÓPAI PARLAMENTNEK, AZ EURÓPAI TANÁCSNAK, A TANÁCSNAK, AZ EURÓPAI KÖZPONTI BANKNAK, AZ EURÓPAI GAZDASÁGI ÉS SZOCIÁLIS BIZOTTSÁGNAK, A RÉGIÓK BIZOTTSÁGÁNAK ÉS AZ EURÓPAI BERUHÁZÁSI BANKNAK"/>
  </w:docVars>
  <w:rsids>
    <w:rsidRoot w:val="00AB42BA"/>
    <w:rsid w:val="000D547D"/>
    <w:rsid w:val="00A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AF9DD9-50A9-45A8-A291-ECD1DBDF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alibri" w:eastAsia="Calibri" w:hAnsi="Calibri"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semiHidden/>
    <w:unhideWhenUsed/>
    <w:rPr>
      <w:w w:val="100"/>
      <w:sz w:val="20"/>
      <w:szCs w:val="20"/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brexit/brexit-preparedness/preparedness-notices_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E052-085F-4770-990F-C9F458C2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512</Words>
  <Characters>3841</Characters>
  <Application>Microsoft Office Word</Application>
  <DocSecurity>0</DocSecurity>
  <Lines>256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 Peter (SG)</dc:creator>
  <cp:lastModifiedBy>HEILEMANN Stefanie (SG)</cp:lastModifiedBy>
  <cp:revision>27</cp:revision>
  <dcterms:created xsi:type="dcterms:W3CDTF">2019-06-03T14:17:00Z</dcterms:created>
  <dcterms:modified xsi:type="dcterms:W3CDTF">2019-06-13T08:31:00Z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2</vt:lpwstr>
  </property>
  <property fmtid="{D5CDD505-2E9C-101B-9397-08002B2CF9AE}" pid="4" name="Last annex">
    <vt:lpwstr>2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reated using">
    <vt:lpwstr>LW 6.0.1, Build 20180503</vt:lpwstr>
  </property>
  <property fmtid="{D5CDD505-2E9C-101B-9397-08002B2CF9AE}" pid="10" name="Last edited using">
    <vt:lpwstr>LW 6.0.1, Build 20180503</vt:lpwstr>
  </property>
</Properties>
</file>